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rFonts w:ascii="Arial" w:hAnsi="Arial" w:cs="Arial"/>
          <w:b/>
        </w:rPr>
      </w:pPr>
      <w:r>
        <w:rPr>
          <w:rFonts w:ascii="Arial" w:hAnsi="Arial" w:cs="Arial"/>
          <w:b/>
        </w:rPr>
        <w:t>Mission</w:t>
      </w:r>
    </w:p>
    <w:p>
      <w:pPr>
        <w:rPr>
          <w:rFonts w:ascii="Arial" w:eastAsia="Times New Roman" w:hAnsi="Arial" w:cs="Arial"/>
          <w:color w:val="000000"/>
        </w:rPr>
      </w:pPr>
      <w:r>
        <w:rPr>
          <w:rFonts w:ascii="Arial" w:hAnsi="Arial" w:cs="Arial"/>
        </w:rPr>
        <w:t xml:space="preserve">ManTech has a thorough </w:t>
      </w:r>
      <w:r>
        <w:rPr>
          <w:rFonts w:ascii="Arial" w:hAnsi="Arial" w:cs="Arial"/>
        </w:rPr>
        <w:t xml:space="preserve">understanding </w:t>
      </w:r>
      <w:r>
        <w:rPr>
          <w:rFonts w:ascii="Arial" w:hAnsi="Arial" w:cs="Arial"/>
        </w:rPr>
        <w:t>of the NC3A</w:t>
      </w:r>
      <w:r>
        <w:rPr>
          <w:rFonts w:ascii="Arial" w:hAnsi="Arial" w:cs="Arial"/>
        </w:rPr>
        <w:t xml:space="preserve">, </w:t>
      </w:r>
      <w:proofErr w:type="gramStart"/>
      <w:r>
        <w:rPr>
          <w:rFonts w:ascii="Arial" w:hAnsi="Arial" w:cs="Arial"/>
        </w:rPr>
        <w:t>it</w:t>
      </w:r>
      <w:r>
        <w:rPr>
          <w:rFonts w:ascii="Arial" w:hAnsi="Arial" w:cs="Arial"/>
        </w:rPr>
        <w:t>’s</w:t>
      </w:r>
      <w:proofErr w:type="gramEnd"/>
      <w:r>
        <w:rPr>
          <w:rFonts w:ascii="Arial" w:hAnsi="Arial" w:cs="Arial"/>
        </w:rPr>
        <w:t xml:space="preserve"> mission and organization.  </w:t>
      </w:r>
      <w:r>
        <w:rPr>
          <w:rFonts w:ascii="Arial" w:eastAsia="Times New Roman" w:hAnsi="Arial" w:cs="Arial"/>
          <w:color w:val="000000"/>
        </w:rPr>
        <w:t>From NICSMA (NATO Integrated Communications Systems Management Agency through NACISA (NATO Integrated Communications and Information Systems Agency) which was merged with the  STC (Shape Technical Center) on 1 July 1996 to form the NC3A (NATO Consultation, Command and Control Agency), the Agency has</w:t>
      </w:r>
      <w:r>
        <w:rPr>
          <w:rFonts w:ascii="Arial" w:eastAsia="Times New Roman" w:hAnsi="Arial" w:cs="Arial"/>
          <w:color w:val="000000"/>
        </w:rPr>
        <w:t xml:space="preserve"> </w:t>
      </w:r>
      <w:r>
        <w:rPr>
          <w:rFonts w:ascii="Arial" w:eastAsia="Times New Roman" w:hAnsi="Arial" w:cs="Arial"/>
          <w:color w:val="000000"/>
        </w:rPr>
        <w:t>roots going back over 50 years.  T</w:t>
      </w:r>
      <w:r>
        <w:rPr>
          <w:rFonts w:ascii="Arial" w:eastAsia="Times New Roman" w:hAnsi="Arial" w:cs="Arial"/>
          <w:color w:val="000000"/>
        </w:rPr>
        <w:t xml:space="preserve">he mission of the NATO C3 Agency is to support NATO through the seamless provision of unbiased scientific support and </w:t>
      </w:r>
      <w:r>
        <w:rPr>
          <w:rFonts w:ascii="Arial" w:eastAsia="Times New Roman" w:hAnsi="Arial" w:cs="Arial"/>
          <w:color w:val="000000"/>
        </w:rPr>
        <w:t>common</w:t>
      </w:r>
      <w:r>
        <w:rPr>
          <w:rFonts w:ascii="Arial" w:eastAsia="Times New Roman" w:hAnsi="Arial" w:cs="Arial"/>
          <w:color w:val="000000"/>
        </w:rPr>
        <w:t xml:space="preserve"> funded acquisition of Consultation, Command, Control, Communications, Intelligence, Surveillance and Reconnaissance (C4ISR) capabilities.</w:t>
      </w:r>
    </w:p>
    <w:p>
      <w:pPr>
        <w:rPr>
          <w:rFonts w:ascii="Arial" w:hAnsi="Arial" w:cs="Arial"/>
        </w:rPr>
      </w:pPr>
      <w:r>
        <w:rPr>
          <w:rFonts w:ascii="Arial" w:hAnsi="Arial" w:cs="Arial"/>
        </w:rPr>
        <w:t xml:space="preserve">The NC3A serves the </w:t>
      </w:r>
      <w:r>
        <w:rPr>
          <w:rFonts w:ascii="Arial" w:hAnsi="Arial" w:cs="Arial"/>
        </w:rPr>
        <w:t xml:space="preserve">NATO Alliance, its constituent nations and agencies. </w:t>
      </w:r>
      <w:r>
        <w:rPr>
          <w:rFonts w:ascii="Arial" w:hAnsi="Arial" w:cs="Arial"/>
        </w:rPr>
        <w:t>It</w:t>
      </w:r>
      <w:r>
        <w:rPr>
          <w:rFonts w:ascii="Arial" w:hAnsi="Arial" w:cs="Arial"/>
        </w:rPr>
        <w:t xml:space="preserve"> also </w:t>
      </w:r>
      <w:r>
        <w:rPr>
          <w:rFonts w:ascii="Arial" w:hAnsi="Arial" w:cs="Arial"/>
        </w:rPr>
        <w:t>plays</w:t>
      </w:r>
      <w:r>
        <w:rPr>
          <w:rFonts w:ascii="Arial" w:hAnsi="Arial" w:cs="Arial"/>
        </w:rPr>
        <w:t xml:space="preserve"> a smaller, but important </w:t>
      </w:r>
      <w:r>
        <w:rPr>
          <w:rFonts w:ascii="Arial" w:hAnsi="Arial" w:cs="Arial"/>
        </w:rPr>
        <w:t xml:space="preserve">role </w:t>
      </w:r>
      <w:r>
        <w:rPr>
          <w:rFonts w:ascii="Arial" w:hAnsi="Arial" w:cs="Arial"/>
        </w:rPr>
        <w:t>serving nations and entities wi</w:t>
      </w:r>
      <w:r>
        <w:rPr>
          <w:rFonts w:ascii="Arial" w:hAnsi="Arial" w:cs="Arial"/>
        </w:rPr>
        <w:t>th which NATO has close ties. The NC3A is</w:t>
      </w:r>
      <w:r>
        <w:rPr>
          <w:rFonts w:ascii="Arial" w:hAnsi="Arial" w:cs="Arial"/>
        </w:rPr>
        <w:t xml:space="preserve"> a non-profit</w:t>
      </w:r>
      <w:r>
        <w:rPr>
          <w:rFonts w:ascii="Arial" w:hAnsi="Arial" w:cs="Arial"/>
        </w:rPr>
        <w:t xml:space="preserve">, 100% customer-funded organization, meaning customers are the </w:t>
      </w:r>
      <w:r>
        <w:rPr>
          <w:rFonts w:ascii="Arial" w:hAnsi="Arial" w:cs="Arial"/>
        </w:rPr>
        <w:t>only source of operating revenue.</w:t>
      </w:r>
    </w:p>
    <w:p>
      <w:pPr>
        <w:rPr>
          <w:rFonts w:ascii="Arial" w:hAnsi="Arial" w:cs="Arial"/>
        </w:rPr>
      </w:pPr>
      <w:r>
        <w:rPr>
          <w:rFonts w:ascii="Arial" w:hAnsi="Arial" w:cs="Arial"/>
        </w:rPr>
        <w:t>The NC3A</w:t>
      </w:r>
      <w:r>
        <w:rPr>
          <w:rFonts w:ascii="Arial" w:hAnsi="Arial" w:cs="Arial"/>
        </w:rPr>
        <w:t xml:space="preserve"> maintain</w:t>
      </w:r>
      <w:r>
        <w:rPr>
          <w:rFonts w:ascii="Arial" w:hAnsi="Arial" w:cs="Arial"/>
        </w:rPr>
        <w:t>s</w:t>
      </w:r>
      <w:r>
        <w:rPr>
          <w:rFonts w:ascii="Arial" w:hAnsi="Arial" w:cs="Arial"/>
        </w:rPr>
        <w:t xml:space="preserve"> an integral and supporting presence in all of NATO's theatres of operation, including the Balkans, Afghanistan, and Iraq. </w:t>
      </w:r>
      <w:r>
        <w:rPr>
          <w:rFonts w:ascii="Arial" w:hAnsi="Arial" w:cs="Arial"/>
        </w:rPr>
        <w:t>The Agency</w:t>
      </w:r>
      <w:r>
        <w:rPr>
          <w:rFonts w:ascii="Arial" w:hAnsi="Arial" w:cs="Arial"/>
        </w:rPr>
        <w:t xml:space="preserve"> implement</w:t>
      </w:r>
      <w:r>
        <w:rPr>
          <w:rFonts w:ascii="Arial" w:hAnsi="Arial" w:cs="Arial"/>
        </w:rPr>
        <w:t>s</w:t>
      </w:r>
      <w:r>
        <w:rPr>
          <w:rFonts w:ascii="Arial" w:hAnsi="Arial" w:cs="Arial"/>
        </w:rPr>
        <w:t xml:space="preserve"> key systems </w:t>
      </w:r>
      <w:r>
        <w:rPr>
          <w:rFonts w:ascii="Arial" w:hAnsi="Arial" w:cs="Arial"/>
        </w:rPr>
        <w:t>providing NATO</w:t>
      </w:r>
      <w:r>
        <w:rPr>
          <w:rFonts w:ascii="Arial" w:hAnsi="Arial" w:cs="Arial"/>
        </w:rPr>
        <w:t xml:space="preserve"> leadership </w:t>
      </w:r>
      <w:r>
        <w:rPr>
          <w:rFonts w:ascii="Arial" w:hAnsi="Arial" w:cs="Arial"/>
        </w:rPr>
        <w:t>the ability</w:t>
      </w:r>
      <w:r>
        <w:rPr>
          <w:rFonts w:ascii="Arial" w:hAnsi="Arial" w:cs="Arial"/>
        </w:rPr>
        <w:t xml:space="preserve"> to perform political consultation and </w:t>
      </w:r>
      <w:r>
        <w:rPr>
          <w:rFonts w:ascii="Arial" w:hAnsi="Arial" w:cs="Arial"/>
        </w:rPr>
        <w:t xml:space="preserve">the </w:t>
      </w:r>
      <w:r>
        <w:rPr>
          <w:rFonts w:ascii="Arial" w:hAnsi="Arial" w:cs="Arial"/>
        </w:rPr>
        <w:t>military f</w:t>
      </w:r>
      <w:r>
        <w:rPr>
          <w:rFonts w:ascii="Arial" w:hAnsi="Arial" w:cs="Arial"/>
        </w:rPr>
        <w:t>unctions of command and control;</w:t>
      </w:r>
      <w:r>
        <w:rPr>
          <w:rFonts w:ascii="Arial" w:hAnsi="Arial" w:cs="Arial"/>
        </w:rPr>
        <w:t xml:space="preserve"> terrestrial and satellite communications; the automated information systems and applications that use these media to exchange information; analytical and N</w:t>
      </w:r>
      <w:r>
        <w:rPr>
          <w:rFonts w:ascii="Arial" w:hAnsi="Arial" w:cs="Arial"/>
        </w:rPr>
        <w:t>ATO expertise underlying all the Agency’s</w:t>
      </w:r>
      <w:r>
        <w:rPr>
          <w:rFonts w:ascii="Arial" w:hAnsi="Arial" w:cs="Arial"/>
        </w:rPr>
        <w:t xml:space="preserve"> R&amp;D and acquisition projects, and much more.</w:t>
      </w:r>
    </w:p>
    <w:p>
      <w:pPr>
        <w:rPr>
          <w:rFonts w:ascii="Arial" w:hAnsi="Arial" w:cs="Arial"/>
        </w:rPr>
      </w:pPr>
      <w:r>
        <w:rPr>
          <w:rFonts w:ascii="Arial" w:hAnsi="Arial" w:cs="Arial"/>
        </w:rPr>
        <w:t>The NC3A deliver</w:t>
      </w:r>
      <w:r>
        <w:rPr>
          <w:rFonts w:ascii="Arial" w:hAnsi="Arial" w:cs="Arial"/>
        </w:rPr>
        <w:t>s</w:t>
      </w:r>
      <w:r>
        <w:rPr>
          <w:rFonts w:ascii="Arial" w:hAnsi="Arial" w:cs="Arial"/>
        </w:rPr>
        <w:t xml:space="preserve"> products and services </w:t>
      </w:r>
      <w:r>
        <w:rPr>
          <w:rFonts w:ascii="Arial" w:hAnsi="Arial" w:cs="Arial"/>
        </w:rPr>
        <w:t xml:space="preserve">and operates </w:t>
      </w:r>
      <w:r>
        <w:rPr>
          <w:rFonts w:ascii="Arial" w:hAnsi="Arial" w:cs="Arial"/>
        </w:rPr>
        <w:t>across the entire C4ISR life cycle, from system concepts and requirements to fielded systems and other operational assistance</w:t>
      </w:r>
      <w:r>
        <w:rPr>
          <w:rFonts w:ascii="Arial" w:hAnsi="Arial" w:cs="Arial"/>
        </w:rPr>
        <w:t xml:space="preserve"> acting as a delivery agent for many NATO systems and capabilities</w:t>
      </w:r>
      <w:r>
        <w:rPr>
          <w:rFonts w:ascii="Arial" w:hAnsi="Arial" w:cs="Arial"/>
        </w:rPr>
        <w:t xml:space="preserve">. </w:t>
      </w:r>
      <w:r>
        <w:rPr>
          <w:rFonts w:ascii="Arial" w:hAnsi="Arial" w:cs="Arial"/>
        </w:rPr>
        <w:t xml:space="preserve"> </w:t>
      </w:r>
      <w:r>
        <w:rPr>
          <w:rFonts w:ascii="Arial" w:hAnsi="Arial" w:cs="Arial"/>
        </w:rPr>
        <w:t xml:space="preserve">For the Agency, the </w:t>
      </w:r>
      <w:r>
        <w:rPr>
          <w:rFonts w:ascii="Arial" w:hAnsi="Arial" w:cs="Arial"/>
        </w:rPr>
        <w:t>c</w:t>
      </w:r>
      <w:r>
        <w:rPr>
          <w:rFonts w:ascii="Arial" w:hAnsi="Arial" w:cs="Arial"/>
        </w:rPr>
        <w:t xml:space="preserve">apability </w:t>
      </w:r>
      <w:r>
        <w:rPr>
          <w:rFonts w:ascii="Arial" w:hAnsi="Arial" w:cs="Arial"/>
        </w:rPr>
        <w:t>p</w:t>
      </w:r>
      <w:r>
        <w:rPr>
          <w:rFonts w:ascii="Arial" w:hAnsi="Arial" w:cs="Arial"/>
        </w:rPr>
        <w:t>rocess begins with supporting the ACT (Allied Command Transformation), in conjunction with the ACO (Allied Command Operations</w:t>
      </w:r>
      <w:proofErr w:type="gramStart"/>
      <w:r>
        <w:rPr>
          <w:rFonts w:ascii="Arial" w:hAnsi="Arial" w:cs="Arial"/>
        </w:rPr>
        <w:t xml:space="preserve">) </w:t>
      </w:r>
      <w:r>
        <w:rPr>
          <w:rFonts w:ascii="Arial" w:hAnsi="Arial" w:cs="Arial"/>
        </w:rPr>
        <w:t xml:space="preserve"> identify</w:t>
      </w:r>
      <w:proofErr w:type="gramEnd"/>
      <w:r>
        <w:rPr>
          <w:rFonts w:ascii="Arial" w:hAnsi="Arial" w:cs="Arial"/>
        </w:rPr>
        <w:t xml:space="preserve"> and articulate long-term capability requirements.</w:t>
      </w:r>
    </w:p>
    <w:p>
      <w:pPr>
        <w:rPr>
          <w:rFonts w:ascii="Arial" w:hAnsi="Arial" w:cs="Arial"/>
        </w:rPr>
      </w:pPr>
      <w:r>
        <w:rPr>
          <w:rFonts w:ascii="Arial" w:hAnsi="Arial" w:cs="Arial"/>
        </w:rPr>
        <w:t xml:space="preserve">Through the vehicles of NATO's capability packages and national force requirements and proposals, </w:t>
      </w:r>
      <w:r>
        <w:rPr>
          <w:rFonts w:ascii="Arial" w:hAnsi="Arial" w:cs="Arial"/>
        </w:rPr>
        <w:t xml:space="preserve">the </w:t>
      </w:r>
      <w:r>
        <w:rPr>
          <w:rFonts w:ascii="Arial" w:hAnsi="Arial" w:cs="Arial"/>
        </w:rPr>
        <w:t xml:space="preserve">NC3A helps the Alliance focus its common-funded programs, together with nationally-funded initiatives, into a common coalition-based force. As NATO's designated C3 Architect, </w:t>
      </w:r>
      <w:r>
        <w:rPr>
          <w:rFonts w:ascii="Arial" w:hAnsi="Arial" w:cs="Arial"/>
        </w:rPr>
        <w:t>the Agency</w:t>
      </w:r>
      <w:r>
        <w:rPr>
          <w:rFonts w:ascii="Arial" w:hAnsi="Arial" w:cs="Arial"/>
        </w:rPr>
        <w:t xml:space="preserve"> work</w:t>
      </w:r>
      <w:r>
        <w:rPr>
          <w:rFonts w:ascii="Arial" w:hAnsi="Arial" w:cs="Arial"/>
        </w:rPr>
        <w:t>s</w:t>
      </w:r>
      <w:r>
        <w:rPr>
          <w:rFonts w:ascii="Arial" w:hAnsi="Arial" w:cs="Arial"/>
        </w:rPr>
        <w:t xml:space="preserve"> closely with national agencies and industry to ensure that the Alliance gains maximum synergy from this process. The end goal is to deliver those viable forces that ACO needs to execute the missions and tasks given to it by the </w:t>
      </w:r>
      <w:r>
        <w:rPr>
          <w:rFonts w:ascii="Arial" w:hAnsi="Arial" w:cs="Arial"/>
        </w:rPr>
        <w:t>NAC (</w:t>
      </w:r>
      <w:r>
        <w:rPr>
          <w:rFonts w:ascii="Arial" w:hAnsi="Arial" w:cs="Arial"/>
        </w:rPr>
        <w:t>North Atlantic Council</w:t>
      </w:r>
      <w:r>
        <w:rPr>
          <w:rFonts w:ascii="Arial" w:hAnsi="Arial" w:cs="Arial"/>
        </w:rPr>
        <w:t>)</w:t>
      </w:r>
      <w:r>
        <w:rPr>
          <w:rFonts w:ascii="Arial" w:hAnsi="Arial" w:cs="Arial"/>
        </w:rPr>
        <w:t>.</w:t>
      </w:r>
    </w:p>
    <w:p>
      <w:pPr>
        <w:spacing w:before="100" w:beforeAutospacing="1" w:after="100" w:afterAutospacing="1" w:line="240" w:lineRule="auto"/>
        <w:rPr>
          <w:rFonts w:ascii="Arial" w:eastAsia="Times New Roman" w:hAnsi="Arial" w:cs="Arial"/>
          <w:color w:val="000000"/>
        </w:rPr>
      </w:pPr>
      <w:r>
        <w:rPr>
          <w:rFonts w:ascii="Arial" w:eastAsia="Times New Roman" w:hAnsi="Arial" w:cs="Arial"/>
          <w:color w:val="000000"/>
        </w:rPr>
        <w:t>NC3A</w:t>
      </w:r>
      <w:r>
        <w:rPr>
          <w:rFonts w:ascii="Arial" w:eastAsia="Times New Roman" w:hAnsi="Arial" w:cs="Arial"/>
          <w:color w:val="000000"/>
        </w:rPr>
        <w:t xml:space="preserve"> areas of expertise, or core competencies, are organized into nine capability area teams:</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t>Capability Planning and Architectures</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t>Interoperability</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t>Exercises and Training</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t>Operations Planning and Execution (J3/J5)</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lastRenderedPageBreak/>
        <w:t>Intelligence, Surveillance and Reconnaissance</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t>Integration Support and VAS</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t>Core Services</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t>Information Assurance and Service Control</w:t>
      </w:r>
    </w:p>
    <w:p>
      <w:pPr>
        <w:numPr>
          <w:ilvl w:val="0"/>
          <w:numId w:val="6"/>
        </w:numPr>
        <w:spacing w:before="100" w:beforeAutospacing="1" w:after="240" w:line="240" w:lineRule="auto"/>
        <w:rPr>
          <w:rFonts w:ascii="Arial" w:eastAsia="Times New Roman" w:hAnsi="Arial" w:cs="Arial"/>
          <w:color w:val="000000"/>
        </w:rPr>
      </w:pPr>
      <w:r>
        <w:rPr>
          <w:rFonts w:ascii="Arial" w:eastAsia="Times New Roman" w:hAnsi="Arial" w:cs="Arial"/>
          <w:color w:val="000000"/>
        </w:rPr>
        <w:t>Infrastructure Services</w:t>
      </w:r>
    </w:p>
    <w:p>
      <w:pPr>
        <w:rPr>
          <w:rFonts w:ascii="Arial" w:hAnsi="Arial" w:cs="Arial"/>
          <w:b/>
        </w:rPr>
      </w:pPr>
      <w:r>
        <w:rPr>
          <w:rFonts w:ascii="Arial" w:hAnsi="Arial" w:cs="Arial"/>
          <w:b/>
        </w:rPr>
        <w:t>Organization</w:t>
      </w:r>
    </w:p>
    <w:p>
      <w:pPr>
        <w:rPr>
          <w:rFonts w:ascii="Arial" w:hAnsi="Arial" w:cs="Arial"/>
        </w:rPr>
      </w:pPr>
      <w:r>
        <w:rPr>
          <w:rFonts w:ascii="Arial" w:hAnsi="Arial" w:cs="Arial"/>
        </w:rPr>
        <w:t>The NATO C3 Agency was established on 1 July 1996 by the amalgamation of the former SHAPE Technical Centre (STC) and the former NATO Communications and Information Systems Agency (NACISA). Both of these organizations take their roots from the origin of NATO and from the requirement to provide Consultation, Command and Control capabilities to NATO authorities. The Agency has therefore been at the centre of C3 matters in NATO for 50 years.</w:t>
      </w:r>
    </w:p>
    <w:p>
      <w:pPr>
        <w:rPr>
          <w:rFonts w:ascii="Arial" w:hAnsi="Arial" w:cs="Arial"/>
        </w:rPr>
      </w:pPr>
      <w:hyperlink r:id="rId5" w:tgtFrame="" w:tooltip="" w:history="1">
        <w: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2952750" cy="1524000"/>
              <wp:effectExtent l="19050" t="0" r="0" b="0"/>
              <wp:wrapSquare wrapText="bothSides"/>
              <wp:docPr id="4" name="Picture 2" descr="NATO C3 Organization">
                <a:hlinkClick xmlns:a="http://schemas.openxmlformats.org/drawingml/2006/main" r:id="rId5" tgtFrame="&quot;&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O C3 Organization">
                        <a:hlinkClick r:id="rId5" tgtFrame="&quot;&quot;" tooltip="&quot;&quot;"/>
                      </pic:cNvPr>
                      <pic:cNvPicPr>
                        <a:picLocks noChangeAspect="1" noChangeArrowheads="1"/>
                      </pic:cNvPicPr>
                    </pic:nvPicPr>
                    <pic:blipFill>
                      <a:blip r:embed="rId6"/>
                      <a:srcRect/>
                      <a:stretch>
                        <a:fillRect/>
                      </a:stretch>
                    </pic:blipFill>
                    <pic:spPr bwMode="auto">
                      <a:xfrm>
                        <a:off x="0" y="0"/>
                        <a:ext cx="2952750" cy="1524000"/>
                      </a:xfrm>
                      <a:prstGeom prst="rect">
                        <a:avLst/>
                      </a:prstGeom>
                      <a:noFill/>
                      <a:ln w="9525">
                        <a:noFill/>
                        <a:miter lim="800000"/>
                        <a:headEnd/>
                        <a:tailEnd/>
                      </a:ln>
                    </pic:spPr>
                  </pic:pic>
                </a:graphicData>
              </a:graphic>
            </wp:anchor>
          </w:drawing>
        </w:r>
      </w:hyperlink>
      <w:r>
        <w:rPr>
          <w:rFonts w:ascii="Arial" w:hAnsi="Arial" w:cs="Arial"/>
        </w:rPr>
        <w:t>The NC3A is officially founded under the Charter for the NATO C3 Organization, an entity comprised of a governing body, the NATO C3 Board; a supporting substructure including the NATO C3 Representatives, and two agencies — the NATO C3 Agency and the NATO Communication and Information Systems Services Agency (NCSA).</w:t>
      </w:r>
    </w:p>
    <w:p>
      <w:pPr>
        <w:rPr>
          <w:rFonts w:ascii="Arial" w:hAnsi="Arial" w:cs="Arial"/>
        </w:rPr>
      </w:pPr>
      <w:r>
        <w:rPr>
          <w:rFonts w:ascii="Arial" w:hAnsi="Arial" w:cs="Arial"/>
        </w:rPr>
        <w:t>The roles given to the NC3A under the charter are diverse and include:</w:t>
      </w:r>
    </w:p>
    <w:p>
      <w:pPr>
        <w:rPr>
          <w:rFonts w:ascii="Arial" w:hAnsi="Arial" w:cs="Arial"/>
        </w:rPr>
      </w:pPr>
      <w:r>
        <w:rPr>
          <w:rFonts w:ascii="Arial" w:hAnsi="Arial" w:cs="Arial"/>
        </w:rPr>
        <w:t xml:space="preserve">Central planning, systems integration, design, systems engineering, technical support and configuration control for NATO C3 systems and installations </w:t>
      </w:r>
    </w:p>
    <w:p>
      <w:pPr>
        <w:rPr>
          <w:rFonts w:ascii="Arial" w:hAnsi="Arial" w:cs="Arial"/>
        </w:rPr>
      </w:pPr>
      <w:r>
        <w:rPr>
          <w:rFonts w:ascii="Arial" w:hAnsi="Arial" w:cs="Arial"/>
        </w:rPr>
        <w:t xml:space="preserve">Scientific and technical support to the Strategic Commands </w:t>
      </w:r>
    </w:p>
    <w:p>
      <w:pPr>
        <w:rPr>
          <w:rFonts w:ascii="Arial" w:hAnsi="Arial" w:cs="Arial"/>
        </w:rPr>
      </w:pPr>
      <w:r>
        <w:rPr>
          <w:rFonts w:ascii="Arial" w:hAnsi="Arial" w:cs="Arial"/>
        </w:rPr>
        <w:t xml:space="preserve">Technical support and advice in the areas of operations research, surveillance, air command and control including theatre missile </w:t>
      </w:r>
      <w:proofErr w:type="spellStart"/>
      <w:r>
        <w:rPr>
          <w:rFonts w:ascii="Arial" w:hAnsi="Arial" w:cs="Arial"/>
        </w:rPr>
        <w:t>defence</w:t>
      </w:r>
      <w:proofErr w:type="spellEnd"/>
      <w:r>
        <w:rPr>
          <w:rFonts w:ascii="Arial" w:hAnsi="Arial" w:cs="Arial"/>
        </w:rPr>
        <w:t xml:space="preserve">, electronic warfare, airborne early warning and control, and communications and information systems </w:t>
      </w:r>
    </w:p>
    <w:p>
      <w:pPr>
        <w:rPr>
          <w:rFonts w:ascii="Arial" w:hAnsi="Arial" w:cs="Arial"/>
        </w:rPr>
      </w:pPr>
      <w:r>
        <w:rPr>
          <w:rFonts w:ascii="Arial" w:hAnsi="Arial" w:cs="Arial"/>
        </w:rPr>
        <w:t xml:space="preserve">Immediate support to NATO military authorities during military operations </w:t>
      </w:r>
    </w:p>
    <w:p>
      <w:pPr>
        <w:rPr>
          <w:rFonts w:ascii="Arial" w:hAnsi="Arial" w:cs="Arial"/>
        </w:rPr>
      </w:pPr>
      <w:r>
        <w:rPr>
          <w:rFonts w:ascii="Arial" w:hAnsi="Arial" w:cs="Arial"/>
        </w:rPr>
        <w:t>Technical policy and standardization work for the NATO C3 Board and its substructure</w:t>
      </w:r>
    </w:p>
    <w:p>
      <w:pPr>
        <w:rPr>
          <w:rFonts w:ascii="Arial" w:hAnsi="Arial" w:cs="Arial"/>
        </w:rPr>
      </w:pPr>
      <w:r>
        <w:rPr>
          <w:rFonts w:ascii="Arial" w:hAnsi="Arial" w:cs="Arial"/>
        </w:rPr>
        <w:lastRenderedPageBreak/>
        <w:t>The Agency’s structure is based on four segments:</w:t>
      </w:r>
      <w:r>
        <w:t xml:space="preserve"> </w:t>
      </w:r>
      <w:r>
        <w:rPr>
          <w:noProof/>
        </w:rPr>
        <w:drawing>
          <wp:inline distT="0" distB="0" distL="0" distR="0">
            <wp:extent cx="4762500" cy="3581400"/>
            <wp:effectExtent l="19050" t="0" r="0" b="0"/>
            <wp:docPr id="5" name="Picture 1" descr="http://www.nc3a.nato.int/PublishingImages/Organisational-Stru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c3a.nato.int/PublishingImages/Organisational-Structure.jpg"/>
                    <pic:cNvPicPr>
                      <a:picLocks noChangeAspect="1" noChangeArrowheads="1"/>
                    </pic:cNvPicPr>
                  </pic:nvPicPr>
                  <pic:blipFill>
                    <a:blip r:embed="rId7"/>
                    <a:srcRect/>
                    <a:stretch>
                      <a:fillRect/>
                    </a:stretch>
                  </pic:blipFill>
                  <pic:spPr bwMode="auto">
                    <a:xfrm>
                      <a:off x="0" y="0"/>
                      <a:ext cx="4762500" cy="3581400"/>
                    </a:xfrm>
                    <a:prstGeom prst="rect">
                      <a:avLst/>
                    </a:prstGeom>
                    <a:noFill/>
                    <a:ln w="9525">
                      <a:noFill/>
                      <a:miter lim="800000"/>
                      <a:headEnd/>
                      <a:tailEnd/>
                    </a:ln>
                  </pic:spPr>
                </pic:pic>
              </a:graphicData>
            </a:graphic>
          </wp:inline>
        </w:drawing>
      </w:r>
    </w:p>
    <w:p>
      <w:pPr>
        <w:rPr>
          <w:rFonts w:ascii="Arial" w:hAnsi="Arial" w:cs="Arial"/>
        </w:rPr>
      </w:pPr>
      <w:r>
        <w:rPr>
          <w:rFonts w:ascii="Arial" w:hAnsi="Arial" w:cs="Arial"/>
        </w:rPr>
        <w:t xml:space="preserve">The Sponsor Account Segment </w:t>
      </w:r>
      <w:r>
        <w:rPr>
          <w:rFonts w:ascii="Arial" w:hAnsi="Arial" w:cs="Arial"/>
        </w:rPr>
        <w:t xml:space="preserve">– the interface to our sponsors, where we develop new business and manage the customer accounts, and where our sponsors find their single and dedicated interface point. The customer accounts are: </w:t>
      </w:r>
    </w:p>
    <w:p>
      <w:pPr>
        <w:rPr>
          <w:rFonts w:ascii="Arial" w:hAnsi="Arial" w:cs="Arial"/>
        </w:rPr>
      </w:pPr>
      <w:hyperlink r:id="rId8" w:tgtFrame="" w:tooltip="" w:history="1">
        <w:r>
          <w:t>Allied Command Transformation (ACT)</w:t>
        </w:r>
      </w:hyperlink>
      <w:r>
        <w:rPr>
          <w:rFonts w:ascii="Arial" w:hAnsi="Arial" w:cs="Arial"/>
        </w:rPr>
        <w:t xml:space="preserve"> </w:t>
      </w:r>
    </w:p>
    <w:p>
      <w:pPr>
        <w:rPr>
          <w:rFonts w:ascii="Arial" w:hAnsi="Arial" w:cs="Arial"/>
        </w:rPr>
      </w:pPr>
      <w:hyperlink r:id="rId9" w:tgtFrame="" w:tooltip="" w:history="1">
        <w:r>
          <w:t>Allied Command Operations (ACO)</w:t>
        </w:r>
      </w:hyperlink>
      <w:r>
        <w:rPr>
          <w:rFonts w:ascii="Arial" w:hAnsi="Arial" w:cs="Arial"/>
        </w:rPr>
        <w:t xml:space="preserve"> </w:t>
      </w:r>
    </w:p>
    <w:p>
      <w:pPr>
        <w:rPr>
          <w:rFonts w:ascii="Arial" w:hAnsi="Arial" w:cs="Arial"/>
        </w:rPr>
      </w:pPr>
      <w:hyperlink r:id="rId10" w:tgtFrame="" w:tooltip="" w:history="1">
        <w:r>
          <w:t>NATO Network-Enabled Capability Implementation Programs</w:t>
        </w:r>
      </w:hyperlink>
      <w:r>
        <w:rPr>
          <w:rFonts w:ascii="Arial" w:hAnsi="Arial" w:cs="Arial"/>
        </w:rPr>
        <w:t xml:space="preserve"> </w:t>
      </w:r>
    </w:p>
    <w:p>
      <w:pPr>
        <w:rPr>
          <w:rFonts w:ascii="Arial" w:hAnsi="Arial" w:cs="Arial"/>
        </w:rPr>
      </w:pPr>
      <w:hyperlink r:id="rId11" w:tgtFrame="" w:tooltip="" w:history="1">
        <w:r>
          <w:t>NATO and Partner Nations and NATO structures</w:t>
        </w:r>
      </w:hyperlink>
      <w:r>
        <w:rPr>
          <w:rFonts w:ascii="Arial" w:hAnsi="Arial" w:cs="Arial"/>
        </w:rPr>
        <w:t xml:space="preserve"> </w:t>
      </w:r>
    </w:p>
    <w:p>
      <w:pPr>
        <w:rPr>
          <w:rFonts w:ascii="Arial" w:hAnsi="Arial" w:cs="Arial"/>
        </w:rPr>
      </w:pPr>
      <w:r>
        <w:rPr>
          <w:rFonts w:ascii="Arial" w:hAnsi="Arial" w:cs="Arial"/>
        </w:rPr>
        <w:t xml:space="preserve">NATO Consultation Command and Control Board </w:t>
      </w:r>
    </w:p>
    <w:p>
      <w:pPr>
        <w:rPr>
          <w:rFonts w:ascii="Arial" w:hAnsi="Arial" w:cs="Arial"/>
        </w:rPr>
      </w:pPr>
      <w:hyperlink r:id="rId12" w:tgtFrame="" w:tooltip="" w:history="1">
        <w:r>
          <w:t xml:space="preserve">Active Layered </w:t>
        </w:r>
        <w:r>
          <w:t>Theatre Ballistic Missile Defens</w:t>
        </w:r>
        <w:r>
          <w:t>e Program Office</w:t>
        </w:r>
      </w:hyperlink>
      <w:r>
        <w:rPr>
          <w:rFonts w:ascii="Arial" w:hAnsi="Arial" w:cs="Arial"/>
        </w:rPr>
        <w:t xml:space="preserve"> </w:t>
      </w:r>
    </w:p>
    <w:p>
      <w:pPr>
        <w:rPr>
          <w:rFonts w:ascii="Arial" w:hAnsi="Arial" w:cs="Arial"/>
        </w:rPr>
      </w:pPr>
      <w:r>
        <w:rPr>
          <w:rFonts w:ascii="Arial" w:hAnsi="Arial" w:cs="Arial"/>
        </w:rPr>
        <w:t xml:space="preserve">The Production Segment </w:t>
      </w:r>
      <w:r>
        <w:rPr>
          <w:rFonts w:ascii="Arial" w:hAnsi="Arial" w:cs="Arial"/>
        </w:rPr>
        <w:t xml:space="preserve">– where the projects are executed; </w:t>
      </w:r>
      <w:proofErr w:type="gramStart"/>
      <w:r>
        <w:rPr>
          <w:rFonts w:ascii="Arial" w:hAnsi="Arial" w:cs="Arial"/>
        </w:rPr>
        <w:t>The</w:t>
      </w:r>
      <w:proofErr w:type="gramEnd"/>
      <w:r>
        <w:rPr>
          <w:rFonts w:ascii="Arial" w:hAnsi="Arial" w:cs="Arial"/>
        </w:rPr>
        <w:t xml:space="preserve"> segment consists of nine Capability Area Teams (CATs) under a Director of Production: </w:t>
      </w:r>
    </w:p>
    <w:p>
      <w:pPr>
        <w:rPr>
          <w:rFonts w:ascii="Arial" w:hAnsi="Arial" w:cs="Arial"/>
        </w:rPr>
      </w:pPr>
      <w:r>
        <w:rPr>
          <w:rFonts w:ascii="Arial" w:hAnsi="Arial" w:cs="Arial"/>
        </w:rPr>
        <w:t xml:space="preserve">CAT1 – Capability planning and architectures </w:t>
      </w:r>
    </w:p>
    <w:p>
      <w:pPr>
        <w:rPr>
          <w:rFonts w:ascii="Arial" w:hAnsi="Arial" w:cs="Arial"/>
        </w:rPr>
      </w:pPr>
      <w:r>
        <w:rPr>
          <w:rFonts w:ascii="Arial" w:hAnsi="Arial" w:cs="Arial"/>
        </w:rPr>
        <w:t xml:space="preserve">CAT2 – Interoperability </w:t>
      </w:r>
    </w:p>
    <w:p>
      <w:pPr>
        <w:rPr>
          <w:rFonts w:ascii="Arial" w:hAnsi="Arial" w:cs="Arial"/>
        </w:rPr>
      </w:pPr>
      <w:r>
        <w:rPr>
          <w:rFonts w:ascii="Arial" w:hAnsi="Arial" w:cs="Arial"/>
        </w:rPr>
        <w:t xml:space="preserve">CAT3 – Exercises and training </w:t>
      </w:r>
    </w:p>
    <w:p>
      <w:pPr>
        <w:rPr>
          <w:rFonts w:ascii="Arial" w:hAnsi="Arial" w:cs="Arial"/>
        </w:rPr>
      </w:pPr>
      <w:r>
        <w:rPr>
          <w:rFonts w:ascii="Arial" w:hAnsi="Arial" w:cs="Arial"/>
        </w:rPr>
        <w:t xml:space="preserve">CAT4 – Operations planning and execution </w:t>
      </w:r>
    </w:p>
    <w:p>
      <w:pPr>
        <w:rPr>
          <w:rFonts w:ascii="Arial" w:hAnsi="Arial" w:cs="Arial"/>
        </w:rPr>
      </w:pPr>
      <w:r>
        <w:rPr>
          <w:rFonts w:ascii="Arial" w:hAnsi="Arial" w:cs="Arial"/>
        </w:rPr>
        <w:lastRenderedPageBreak/>
        <w:t xml:space="preserve">CAT5 – Intelligence, surveillance and reconnaissance </w:t>
      </w:r>
    </w:p>
    <w:p>
      <w:pPr>
        <w:rPr>
          <w:rFonts w:ascii="Arial" w:hAnsi="Arial" w:cs="Arial"/>
        </w:rPr>
      </w:pPr>
      <w:r>
        <w:rPr>
          <w:rFonts w:ascii="Arial" w:hAnsi="Arial" w:cs="Arial"/>
        </w:rPr>
        <w:t xml:space="preserve">CAT6 – Integration support and value added services </w:t>
      </w:r>
    </w:p>
    <w:p>
      <w:pPr>
        <w:rPr>
          <w:rFonts w:ascii="Arial" w:hAnsi="Arial" w:cs="Arial"/>
        </w:rPr>
      </w:pPr>
      <w:r>
        <w:rPr>
          <w:rFonts w:ascii="Arial" w:hAnsi="Arial" w:cs="Arial"/>
        </w:rPr>
        <w:t xml:space="preserve">CAT7 – Core enterprise services </w:t>
      </w:r>
    </w:p>
    <w:p>
      <w:pPr>
        <w:rPr>
          <w:rFonts w:ascii="Arial" w:hAnsi="Arial" w:cs="Arial"/>
        </w:rPr>
      </w:pPr>
      <w:r>
        <w:rPr>
          <w:rFonts w:ascii="Arial" w:hAnsi="Arial" w:cs="Arial"/>
        </w:rPr>
        <w:t xml:space="preserve">CAT8 – Information assurance and service control </w:t>
      </w:r>
    </w:p>
    <w:p>
      <w:pPr>
        <w:rPr>
          <w:rFonts w:ascii="Arial" w:hAnsi="Arial" w:cs="Arial"/>
        </w:rPr>
      </w:pPr>
      <w:r>
        <w:rPr>
          <w:rFonts w:ascii="Arial" w:hAnsi="Arial" w:cs="Arial"/>
        </w:rPr>
        <w:t xml:space="preserve">CAT9 – Network Information Infrastructure (NII) communications infrastructure services </w:t>
      </w:r>
    </w:p>
    <w:p>
      <w:pPr>
        <w:rPr>
          <w:rFonts w:ascii="Arial" w:hAnsi="Arial" w:cs="Arial"/>
        </w:rPr>
      </w:pPr>
      <w:r>
        <w:rPr>
          <w:rFonts w:ascii="Arial" w:hAnsi="Arial" w:cs="Arial"/>
        </w:rPr>
        <w:t>The Core Segment</w:t>
      </w:r>
      <w:r>
        <w:rPr>
          <w:rFonts w:ascii="Arial" w:hAnsi="Arial" w:cs="Arial"/>
        </w:rPr>
        <w:t xml:space="preserve"> – which is responsible for ensuring that the Agency’s work is coherent in terms of its internal business processes, technical and architectural solutions,</w:t>
      </w:r>
      <w:r>
        <w:rPr>
          <w:rFonts w:ascii="Arial" w:hAnsi="Arial" w:cs="Arial"/>
        </w:rPr>
        <w:t xml:space="preserve"> and acquisition processes,</w:t>
      </w:r>
      <w:r>
        <w:rPr>
          <w:rFonts w:ascii="Arial" w:hAnsi="Arial" w:cs="Arial"/>
        </w:rPr>
        <w:t xml:space="preserve"> consists of a Chief Operating Officer, Chief Technology officer, supported by Chief Architects and Scientists, and the Director of Acquisition. </w:t>
      </w:r>
    </w:p>
    <w:p>
      <w:pPr>
        <w:rPr>
          <w:rFonts w:ascii="Arial" w:hAnsi="Arial" w:cs="Arial"/>
        </w:rPr>
      </w:pPr>
      <w:r>
        <w:rPr>
          <w:rFonts w:ascii="Arial" w:hAnsi="Arial" w:cs="Arial"/>
        </w:rPr>
        <w:t>The Shared Resources Segment</w:t>
      </w:r>
      <w:r>
        <w:rPr>
          <w:rFonts w:ascii="Arial" w:hAnsi="Arial" w:cs="Arial"/>
        </w:rPr>
        <w:t xml:space="preserve"> – where Agency-wide shared support services, such as human resources, building maintenance, stores, finance and IT services are delivered</w:t>
      </w:r>
      <w:r>
        <w:rPr>
          <w:rFonts w:ascii="Arial" w:hAnsi="Arial" w:cs="Arial"/>
        </w:rPr>
        <w:t>.</w:t>
      </w:r>
    </w:p>
    <w:p>
      <w:pPr>
        <w:rPr>
          <w:rFonts w:ascii="Arial" w:hAnsi="Arial" w:cs="Arial"/>
          <w:b/>
        </w:rPr>
      </w:pPr>
      <w:r>
        <w:rPr>
          <w:rFonts w:ascii="Arial" w:hAnsi="Arial" w:cs="Arial"/>
          <w:b/>
        </w:rPr>
        <w:t>Future</w:t>
      </w:r>
    </w:p>
    <w:p>
      <w:pPr>
        <w:rPr>
          <w:rFonts w:ascii="Arial" w:hAnsi="Arial" w:cs="Arial"/>
        </w:rPr>
      </w:pPr>
      <w:proofErr w:type="gramStart"/>
      <w:r>
        <w:rPr>
          <w:rFonts w:ascii="Arial" w:hAnsi="Arial" w:cs="Arial"/>
        </w:rPr>
        <w:t>Growth in outsourcing in NATO.</w:t>
      </w:r>
      <w:proofErr w:type="gramEnd"/>
      <w:r>
        <w:rPr>
          <w:rFonts w:ascii="Arial" w:hAnsi="Arial" w:cs="Arial"/>
        </w:rPr>
        <w:t xml:space="preserve">  </w:t>
      </w:r>
      <w:proofErr w:type="gramStart"/>
      <w:r>
        <w:rPr>
          <w:rFonts w:ascii="Arial" w:hAnsi="Arial" w:cs="Arial"/>
        </w:rPr>
        <w:t>Growth of outsourcing from NATO Nations to NC3A.</w:t>
      </w:r>
      <w:proofErr w:type="gramEnd"/>
    </w:p>
    <w:p>
      <w:pPr>
        <w:rPr>
          <w:rFonts w:ascii="Arial" w:hAnsi="Arial" w:cs="Arial"/>
        </w:rPr>
      </w:pPr>
      <w:proofErr w:type="gramStart"/>
      <w:r>
        <w:rPr>
          <w:rFonts w:ascii="Arial" w:hAnsi="Arial" w:cs="Arial"/>
        </w:rPr>
        <w:t>5-10% growth per annum in NC3A core business.</w:t>
      </w:r>
      <w:proofErr w:type="gramEnd"/>
    </w:p>
    <w:p>
      <w:pPr>
        <w:rPr>
          <w:rFonts w:ascii="Arial" w:hAnsi="Arial" w:cs="Arial"/>
        </w:rPr>
      </w:pPr>
      <w:r>
        <w:rPr>
          <w:rFonts w:ascii="Arial" w:hAnsi="Arial" w:cs="Arial"/>
        </w:rPr>
        <w:t>Downturn in R&amp;D</w:t>
      </w:r>
    </w:p>
    <w:p>
      <w:pPr>
        <w:rPr>
          <w:rFonts w:ascii="Arial" w:hAnsi="Arial" w:cs="Arial"/>
        </w:rPr>
      </w:pPr>
      <w:r>
        <w:rPr>
          <w:rFonts w:ascii="Arial" w:hAnsi="Arial" w:cs="Arial"/>
        </w:rPr>
        <w:t>Upturn in Acquisition</w:t>
      </w:r>
    </w:p>
    <w:p>
      <w:pPr>
        <w:rPr>
          <w:rFonts w:ascii="Arial" w:hAnsi="Arial" w:cs="Arial"/>
        </w:rPr>
      </w:pPr>
      <w:r>
        <w:rPr>
          <w:rFonts w:ascii="Arial" w:hAnsi="Arial" w:cs="Arial"/>
        </w:rPr>
        <w:t>Major investment in VTC and IP</w:t>
      </w:r>
    </w:p>
    <w:p>
      <w:pPr>
        <w:rPr>
          <w:rFonts w:ascii="Arial" w:hAnsi="Arial" w:cs="Arial"/>
        </w:rPr>
      </w:pPr>
      <w:r>
        <w:rPr>
          <w:rFonts w:ascii="Arial" w:hAnsi="Arial" w:cs="Arial"/>
        </w:rPr>
        <w:t>Outsourcing of CIS</w:t>
      </w:r>
    </w:p>
    <w:p>
      <w:pPr>
        <w:rPr>
          <w:rFonts w:ascii="Arial" w:hAnsi="Arial" w:cs="Arial"/>
          <w:b/>
        </w:rPr>
      </w:pPr>
      <w:r>
        <w:rPr>
          <w:rFonts w:ascii="Arial" w:hAnsi="Arial" w:cs="Arial"/>
          <w:b/>
        </w:rPr>
        <w:t>Familiarity with NATO Operations and Procedures</w:t>
      </w:r>
    </w:p>
    <w:p>
      <w:pPr>
        <w:rPr>
          <w:rFonts w:ascii="Arial" w:hAnsi="Arial" w:cs="Arial"/>
        </w:rPr>
      </w:pPr>
      <w:r>
        <w:rPr>
          <w:rFonts w:ascii="Arial" w:hAnsi="Arial" w:cs="Arial"/>
        </w:rPr>
        <w:t xml:space="preserve">ManTech has in-depth knowledge of NATO Operations and procedures.  </w:t>
      </w:r>
      <w:r>
        <w:rPr>
          <w:rFonts w:ascii="Arial" w:hAnsi="Arial" w:cs="Arial"/>
        </w:rPr>
        <w:t xml:space="preserve">ManTech has roots within NATO going back over 23 years to 1986.  </w:t>
      </w:r>
      <w:r>
        <w:rPr>
          <w:rFonts w:ascii="Arial" w:hAnsi="Arial" w:cs="Arial"/>
        </w:rPr>
        <w:t>We currently have</w:t>
      </w:r>
      <w:r>
        <w:rPr>
          <w:rFonts w:ascii="Arial" w:hAnsi="Arial" w:cs="Arial"/>
        </w:rPr>
        <w:t>:</w:t>
      </w:r>
      <w:r>
        <w:rPr>
          <w:rFonts w:ascii="Arial" w:hAnsi="Arial" w:cs="Arial"/>
        </w:rPr>
        <w:t xml:space="preserve"> NAMSA contracts in Iraq to support the NATO Training Mission (NTM-I) and in the NCSA to support communications operations; NACMA contracts to support the ACCS program; ACT contracts supporting the Joint Warfare Center (JWC) in Norway, the </w:t>
      </w:r>
      <w:r>
        <w:rPr>
          <w:rFonts w:ascii="Arial" w:hAnsi="Arial" w:cs="Arial"/>
        </w:rPr>
        <w:t xml:space="preserve">Joint Force Training Center </w:t>
      </w:r>
      <w:r>
        <w:rPr>
          <w:rFonts w:ascii="Arial" w:hAnsi="Arial" w:cs="Arial"/>
        </w:rPr>
        <w:t>(JFTC</w:t>
      </w:r>
      <w:r>
        <w:rPr>
          <w:rFonts w:ascii="Arial" w:hAnsi="Arial" w:cs="Arial"/>
        </w:rPr>
        <w:t xml:space="preserve">) in Poland; </w:t>
      </w:r>
      <w:r>
        <w:rPr>
          <w:rFonts w:ascii="Arial" w:hAnsi="Arial" w:cs="Arial"/>
        </w:rPr>
        <w:t>and the Joint Analysis Lessons Learned Center (JALLC) in Portugal</w:t>
      </w:r>
      <w:r>
        <w:rPr>
          <w:rFonts w:ascii="Arial" w:hAnsi="Arial" w:cs="Arial"/>
        </w:rPr>
        <w:t>.  We also have the current Support Services Contract’s Area 7 which presently supports NC3A operations in Afghanistan, Albania, Belgium, and Croatia having just recently completed support in Kosovo.  Additionally, we have several contracts supporting CIS at NATO HQ in Brussels.</w:t>
      </w: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E21D1"/>
    <w:multiLevelType w:val="multilevel"/>
    <w:tmpl w:val="27E03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7D36BA"/>
    <w:multiLevelType w:val="multilevel"/>
    <w:tmpl w:val="7406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023974"/>
    <w:multiLevelType w:val="multilevel"/>
    <w:tmpl w:val="A414F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624727"/>
    <w:multiLevelType w:val="multilevel"/>
    <w:tmpl w:val="F0E2B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29265D"/>
    <w:multiLevelType w:val="multilevel"/>
    <w:tmpl w:val="E50CB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570274"/>
    <w:multiLevelType w:val="multilevel"/>
    <w:tmpl w:val="97F89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3E37"/>
    <w:rsid w:val="00100D27"/>
    <w:rsid w:val="001B6DF3"/>
    <w:rsid w:val="002A4146"/>
    <w:rsid w:val="00403CC0"/>
    <w:rsid w:val="0060424D"/>
    <w:rsid w:val="007E4F52"/>
    <w:rsid w:val="00955A89"/>
    <w:rsid w:val="009D39C8"/>
    <w:rsid w:val="00A7196A"/>
    <w:rsid w:val="00AB054C"/>
    <w:rsid w:val="00B06EBF"/>
    <w:rsid w:val="00D53049"/>
    <w:rsid w:val="00DB26F3"/>
    <w:rsid w:val="00DD0EC0"/>
    <w:rsid w:val="00E13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5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
    <w:name w:val="title"/>
    <w:basedOn w:val="Normal"/>
    <w:rsid w:val="00E13E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Normal"/>
    <w:rsid w:val="00E13E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E13E37"/>
  </w:style>
  <w:style w:type="character" w:styleId="Strong">
    <w:name w:val="Strong"/>
    <w:basedOn w:val="DefaultParagraphFont"/>
    <w:uiPriority w:val="22"/>
    <w:qFormat/>
    <w:rsid w:val="00E13E37"/>
    <w:rPr>
      <w:b/>
      <w:bCs/>
    </w:rPr>
  </w:style>
  <w:style w:type="paragraph" w:styleId="NormalWeb">
    <w:name w:val="Normal (Web)"/>
    <w:basedOn w:val="Normal"/>
    <w:uiPriority w:val="99"/>
    <w:semiHidden/>
    <w:unhideWhenUsed/>
    <w:rsid w:val="00E13E3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00D27"/>
    <w:rPr>
      <w:color w:val="0000FF" w:themeColor="hyperlink"/>
      <w:u w:val="single"/>
    </w:rPr>
  </w:style>
  <w:style w:type="paragraph" w:styleId="BalloonText">
    <w:name w:val="Balloon Text"/>
    <w:basedOn w:val="Normal"/>
    <w:link w:val="BalloonTextChar"/>
    <w:uiPriority w:val="99"/>
    <w:semiHidden/>
    <w:unhideWhenUsed/>
    <w:rsid w:val="00403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C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1596482">
      <w:bodyDiv w:val="1"/>
      <w:marLeft w:val="0"/>
      <w:marRight w:val="0"/>
      <w:marTop w:val="0"/>
      <w:marBottom w:val="0"/>
      <w:divBdr>
        <w:top w:val="none" w:sz="0" w:space="0" w:color="auto"/>
        <w:left w:val="none" w:sz="0" w:space="0" w:color="auto"/>
        <w:bottom w:val="none" w:sz="0" w:space="0" w:color="auto"/>
        <w:right w:val="none" w:sz="0" w:space="0" w:color="auto"/>
      </w:divBdr>
      <w:divsChild>
        <w:div w:id="1775899650">
          <w:marLeft w:val="150"/>
          <w:marRight w:val="150"/>
          <w:marTop w:val="0"/>
          <w:marBottom w:val="0"/>
          <w:divBdr>
            <w:top w:val="none" w:sz="0" w:space="0" w:color="auto"/>
            <w:left w:val="none" w:sz="0" w:space="0" w:color="auto"/>
            <w:bottom w:val="none" w:sz="0" w:space="0" w:color="auto"/>
            <w:right w:val="none" w:sz="0" w:space="0" w:color="auto"/>
          </w:divBdr>
          <w:divsChild>
            <w:div w:id="1173104185">
              <w:marLeft w:val="0"/>
              <w:marRight w:val="0"/>
              <w:marTop w:val="0"/>
              <w:marBottom w:val="0"/>
              <w:divBdr>
                <w:top w:val="none" w:sz="0" w:space="0" w:color="auto"/>
                <w:left w:val="none" w:sz="0" w:space="0" w:color="auto"/>
                <w:bottom w:val="none" w:sz="0" w:space="0" w:color="auto"/>
                <w:right w:val="none" w:sz="0" w:space="0" w:color="auto"/>
              </w:divBdr>
              <w:divsChild>
                <w:div w:id="141755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266247">
      <w:bodyDiv w:val="1"/>
      <w:marLeft w:val="0"/>
      <w:marRight w:val="0"/>
      <w:marTop w:val="0"/>
      <w:marBottom w:val="0"/>
      <w:divBdr>
        <w:top w:val="none" w:sz="0" w:space="0" w:color="auto"/>
        <w:left w:val="none" w:sz="0" w:space="0" w:color="auto"/>
        <w:bottom w:val="none" w:sz="0" w:space="0" w:color="auto"/>
        <w:right w:val="none" w:sz="0" w:space="0" w:color="auto"/>
      </w:divBdr>
      <w:divsChild>
        <w:div w:id="1121265421">
          <w:marLeft w:val="150"/>
          <w:marRight w:val="150"/>
          <w:marTop w:val="0"/>
          <w:marBottom w:val="0"/>
          <w:divBdr>
            <w:top w:val="none" w:sz="0" w:space="0" w:color="auto"/>
            <w:left w:val="none" w:sz="0" w:space="0" w:color="auto"/>
            <w:bottom w:val="none" w:sz="0" w:space="0" w:color="auto"/>
            <w:right w:val="none" w:sz="0" w:space="0" w:color="auto"/>
          </w:divBdr>
          <w:divsChild>
            <w:div w:id="1651787749">
              <w:marLeft w:val="0"/>
              <w:marRight w:val="0"/>
              <w:marTop w:val="0"/>
              <w:marBottom w:val="0"/>
              <w:divBdr>
                <w:top w:val="none" w:sz="0" w:space="0" w:color="auto"/>
                <w:left w:val="none" w:sz="0" w:space="0" w:color="auto"/>
                <w:bottom w:val="none" w:sz="0" w:space="0" w:color="auto"/>
                <w:right w:val="none" w:sz="0" w:space="0" w:color="auto"/>
              </w:divBdr>
              <w:divsChild>
                <w:div w:id="205134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08875">
      <w:bodyDiv w:val="1"/>
      <w:marLeft w:val="0"/>
      <w:marRight w:val="0"/>
      <w:marTop w:val="0"/>
      <w:marBottom w:val="0"/>
      <w:divBdr>
        <w:top w:val="none" w:sz="0" w:space="0" w:color="auto"/>
        <w:left w:val="none" w:sz="0" w:space="0" w:color="auto"/>
        <w:bottom w:val="none" w:sz="0" w:space="0" w:color="auto"/>
        <w:right w:val="none" w:sz="0" w:space="0" w:color="auto"/>
      </w:divBdr>
      <w:divsChild>
        <w:div w:id="832373028">
          <w:marLeft w:val="150"/>
          <w:marRight w:val="150"/>
          <w:marTop w:val="0"/>
          <w:marBottom w:val="0"/>
          <w:divBdr>
            <w:top w:val="none" w:sz="0" w:space="0" w:color="auto"/>
            <w:left w:val="none" w:sz="0" w:space="0" w:color="auto"/>
            <w:bottom w:val="none" w:sz="0" w:space="0" w:color="auto"/>
            <w:right w:val="none" w:sz="0" w:space="0" w:color="auto"/>
          </w:divBdr>
          <w:divsChild>
            <w:div w:id="579565821">
              <w:marLeft w:val="0"/>
              <w:marRight w:val="0"/>
              <w:marTop w:val="0"/>
              <w:marBottom w:val="0"/>
              <w:divBdr>
                <w:top w:val="none" w:sz="0" w:space="0" w:color="auto"/>
                <w:left w:val="none" w:sz="0" w:space="0" w:color="auto"/>
                <w:bottom w:val="none" w:sz="0" w:space="0" w:color="auto"/>
                <w:right w:val="none" w:sz="0" w:space="0" w:color="auto"/>
              </w:divBdr>
              <w:divsChild>
                <w:div w:id="139416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yperlink" Target="http://www.nc3a.nato.int/Pages/Transformations.aspx" TargetMode="Externa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image" Target="media/image2.jpeg" />
  <Relationship Id="rId12" Type="http://schemas.openxmlformats.org/officeDocument/2006/relationships/hyperlink" Target="http://www.nc3a.nato.int/Pages/defence.aspx" TargetMode="Externa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image" Target="media/image1.gif" />
  <Relationship Id="rId11" Type="http://schemas.openxmlformats.org/officeDocument/2006/relationships/hyperlink" Target="http://www.nc3a.nato.int/Pages/nations.aspx" TargetMode="External" />
  <Relationship Id="rId5" Type="http://schemas.openxmlformats.org/officeDocument/2006/relationships/hyperlink" Target="http://www.nc3a.nato.int/PublishingImages/nc3.gif" TargetMode="External" />
  <Relationship Id="rId10" Type="http://schemas.openxmlformats.org/officeDocument/2006/relationships/hyperlink" Target="http://www.nc3a.nato.int/pages/information.aspx" TargetMode="External" />
  <Relationship Id="rId4" Type="http://schemas.openxmlformats.org/officeDocument/2006/relationships/webSettings" Target="webSettings.xml" />
  <Relationship Id="rId9" Type="http://schemas.openxmlformats.org/officeDocument/2006/relationships/hyperlink" Target="http://www.nc3a.nato.int/Pages/Operations.aspx" TargetMode="External" />
  <Relationship Id="rId14"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4</Pages>
  <Words>1121</Words>
  <Characters>6393</Characters>
  <DocSecurity>0</DocSecurity>
  <Lines>53</Lines>
  <Paragraphs>14</Paragraphs>
  <ScaleCrop>false</ScaleCrop>
  <HeadingPairs>
    <vt:vector size="2" baseType="variant">
      <vt:variant>
        <vt:lpstr>Title</vt:lpstr>
      </vt:variant>
      <vt:variant>
        <vt:i4>1</vt:i4>
      </vt:variant>
    </vt:vector>
  </HeadingPairs>
  <LinksUpToDate>false</LinksUpToDate>
  <CharactersWithSpaces>7500</CharactersWithSpaces>
  <SharedDoc>false</SharedDoc>
  <HyperlinksChanged>false</HyperlinksChanged>
</Properties>
</file>